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145</w:t>
      </w:r>
    </w:p>
    <w:p>
      <w:r>
        <w:t>Bundesgericht (BGE), 2011-04-01, DE</w:t>
      </w:r>
    </w:p>
    <w:p>
      <w:r>
        <w:rPr>
          <w:b/>
        </w:rPr>
        <w:t xml:space="preserve">Quelle: </w:t>
      </w:r>
      <w:r>
        <w:t>https://mcp.opencaselaw.ch/entscheid/bge_137 IV 145</w:t>
      </w:r>
    </w:p>
    <w:p>
      <w:r>
        <w:t>FR: ATF 137 IV 145</w:t>
      </w:r>
    </w:p>
    <w:p>
      <w:r>
        <w:t>IT: DTF 137 IV 145</w:t>
      </w:r>
    </w:p>
    <w:p>
      <w:pPr>
        <w:pStyle w:val="Heading2"/>
      </w:pPr>
      <w:r>
        <w:t>Regeste</w:t>
      </w:r>
    </w:p>
    <w:p>
      <w:r>
        <w:t>Regeste Art. 79 i.V.m. Art. 81 Abs. 1 und 2 BGG; Art. 169 f. und Art. 191 Abs. 1 DBG; Art. 46 Abs. 1 lit. b VStrR; Art. 333 Abs. 1 StGB; Zulässigkeit von Einziehungsbeschlagnahmen im Rahmen von besonderen Fiskaluntersuchungen wegen des Verdachts von schweren Steuerwiderhandlungen. Anwendbarkeit des VStrR nach Inkrafttreten der Eidg. StPO; Übergangsrecht (E. 1.1). Beschwerdelegitimation der Eidg. Steuerverwaltung (E. 1.2). Massgebliches Fiskalstrafrecht; anwendbare Verfahrensvorschriften (E. 5). Dass die Fiskalbehörden im Rahmen eines allfälligen Hinterziehungs- bzw. Nachsteuerverfahrens auf verwaltungsrechtliche Instrumente der Steuersicherung zurückgreifen können, schliesst die vorsorgliche Anordnung von strafprozessualen Einziehungsbeschlagnahmen durch die Eidg. Steuerverwaltung im Verfahren der besonderen Fiskaluntersuchung nicht aus. Ebenso wenig ergibt sich in diesen Fällen aus Art. 333 Abs. 1 StGB ein Beschlagnahmehindernis (E. 6).</w:t>
      </w:r>
    </w:p>
    <w:p>
      <w:pPr>
        <w:pStyle w:val="Heading2"/>
      </w:pPr>
      <w:r>
        <w:t>Erwägungen</w:t>
      </w:r>
    </w:p>
    <w:p>
      <w:r>
        <w:rPr>
          <w:b/>
        </w:rPr>
        <w:t>E. 1.1</w:t>
      </w:r>
    </w:p>
    <w:p>
      <w:r>
        <w:t>Auch nach Inkrafttreten der StPO (SR 312.0) und des StBOG (SR 173.71) am 1. Januar 2011 ist das VStrR (SR 313.0)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1B_411/2010 vom 7. Februar 2011 E. 1.3; 1B_224/2010 vom 11. Januar 2011 E. 2).</w:t>
      </w:r>
    </w:p>
    <w:p>
      <w:r>
        <w:rPr>
          <w:b/>
        </w:rPr>
        <w:t>E. 1.2</w:t>
      </w:r>
    </w:p>
    <w:p>
      <w:r>
        <w:t>Die EStV ist (gemäss Art. 79 i.V.m. Art. 81 Abs. 1-2, insb. Abs. 1 lit. b Ziff. 7 BGG) beschwerdelegitimiert (vgl. BGE 130 IV 156 E. 1.1 S. 158; AEMISEGGER/FORSTER, in: Basler Kommentar, Bundesgerichtsgesetz, 2008, N. 10 Fn. 42 zu Art. 79 BGG ; s. auch BGE 130 I 234 E. 3.1 S. 237; BGE 130 IV 154 E. 1.2 S. 155 f., sowie Art. 28 Abs. 1 lit. d i.V.m. Art. 30 SGG und Art. 26 Abs. 1 VStrR ).</w:t>
      </w:r>
    </w:p>
    <w:p>
      <w:r>
        <w:rPr>
          <w:b/>
        </w:rPr>
        <w:t>E. 1.3</w:t>
      </w:r>
    </w:p>
    <w:p>
      <w:r>
        <w:t>Auch die übrigen Sachurteilsvoraussetzungen von Art. 79 ff. BGG sind erfüllt und geben zu keinen weiteren Bemerkungen Anlass. (...)</w:t>
      </w:r>
    </w:p>
    <w:p>
      <w:r>
        <w:rPr>
          <w:b/>
        </w:rPr>
        <w:t>E. 5.1</w:t>
      </w:r>
    </w:p>
    <w:p>
      <w:r>
        <w:t>Der Bund erhebt gemäss dem Bundesgesetz über die direkte Bundessteuer (DBG; SR 642.11) namentlich eine Einkommenssteuer von den natürlichen Personen ( Art. 1 lit. a DBG ). Die Steuerpflichtigen müssen die Steuererklärung für die Erhebung der BGE 137 IV 145 S. 148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5.2</w:t>
      </w:r>
    </w:p>
    <w:p>
      <w:r>
        <w:t>Im Sechsten Teil ("Steuerstrafrecht") unterscheidet das DBG folgende Arten von Steuerdelikten:</w:t>
      </w:r>
    </w:p>
    <w:p>
      <w:r>
        <w:rPr>
          <w:b/>
        </w:rPr>
        <w:t>E. 5.2.1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5.2.2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(bzw. Freiheitsstrafe bis zu drei Jahren) oder Busse bis zu Fr. 30'000.-. Ebenfalls als Vergehen ( Art. 10 Abs. 3 StGB , s. auch aArt. 9 Abs. 2 StGB)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betreffende Verfahren bei Fiskalvergehen richtet sich nach den Vorschriften der Eidg. StPO ( Art. 188 Abs. 2 DBG ). Wird BGE 137 IV 145 S. 149 der Täter für das kantonale Steuervergehen vom Strafrichter zu einer Freiheitsstrafe verurteilt, so erfolgt für das Vergehen nach DBG eine Zusatzstrafe ( Art. 188 Abs. 3 DBG ); auch die EStV kann die Strafverfolgung wegen Steuervergehen durch die zuständigen Strafjustizbehörden verlangen ( Art. 188 Abs. 4 DBG ).</w:t>
      </w:r>
    </w:p>
    <w:p>
      <w:r>
        <w:rPr>
          <w:b/>
        </w:rPr>
        <w:t>E. 5.2.3</w:t>
      </w:r>
    </w:p>
    <w:p>
      <w:r>
        <w:t>Schliesslich unterscheidet das DBG im Dritten Titel noch zwischen schweren und minder schweren Steuerwiderhandlungen. Bei begründetem Verdacht von schweren Steuerwiderhandlungen sind besondere Untersuchungsmassnahmen durch die EStV zulässig. Als schwere Steuerwiderhandlungen kommen (gemäss Art. 190 Abs. 2 DBG )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(StGB-Geldstrafe bzw. Freiheitsstrafe bis zu drei Jahren).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 vgl. Urteile des Bundesgerichtes 1S.8/2006 vom 12. Dezember 2006 E. 4.2.3; 1S.5/2005 vom 26. September 2005 E. 6.2.3).</w:t>
      </w:r>
    </w:p>
    <w:p>
      <w:r>
        <w:rPr>
          <w:b/>
        </w:rPr>
        <w:t>E. 5.3</w:t>
      </w:r>
    </w:p>
    <w:p>
      <w:r>
        <w:t>Ist die Verfolgung und Beurteilung von Widerhandlungen einer Verwaltungsbehörde des Bundes übertragen, so findet das VStrR Anwendung ( Art. 1 VStrR ). Art. 191 Abs. 1 DBG schreibt ausdrücklich vor, welche Zwangsmassnahmen die EStV gestützt auf das VStrR im Rahmen der Untersuchung von "schweren Steuerwiderhandlungen" anordnen darf: Im Verfahren gegen die mutmasslichen Täter und Teilnehmer können Massnahmen gemäss Art. 19-50 VStrR BGE 137 IV 145 S. 150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 Art. 186 und 187 DBG ), so erstattet sie bei der zuständigen kantonalen Strafverfolgungsbehörde Anzeige ( Art. 194 Abs. 2 DBG ).</w:t>
      </w:r>
    </w:p>
    <w:p>
      <w:r>
        <w:rPr>
          <w:b/>
        </w:rPr>
        <w:t>E. 6.1</w:t>
      </w:r>
    </w:p>
    <w:p>
      <w:r>
        <w:t>Die im angefochtenen Entscheid vertretene Ansicht der Vorinstanz würde dazu führen, dass im Rahmen von besonderen Fiskaluntersuchungen wegen des Verdachts von schweren Steuerwiderhandlungen (insbesondere von fortgesetzten Hinterziehungen grosser Steuerbeträge) entgegen der bundesgerichtlichen Praxis keine sichernden Vermögensbeschlagnahmen bei mutmasslichen Tätern und Teilnehmern (sowie Dritten) mehr möglich wären.</w:t>
      </w:r>
    </w:p>
    <w:p>
      <w:r>
        <w:rPr>
          <w:b/>
        </w:rPr>
        <w:t>E. 6.2</w:t>
      </w:r>
    </w:p>
    <w:p>
      <w:r>
        <w:t>Falls nach Abschluss der besonderen Fiskaluntersuchung gemäss Art. 190 ff. DBG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strafrechtliche Einziehung (oder allenfalls die Deckung einer Strafbusse, von Verfahrenskosten oder von Nachsteuern) in Frage kommt, hängt vom Ergebnis des hängigen Untersuchungsverfahrens wegen mutmasslichen schweren Steuerwiderhandlungen ab. Selbst wenn eine (abgeschlossene) besondere Fiskaluntersuchung der EStV "lediglich" Anhaltspunkte für eine (allenfalls qualifizierte) Steuerhinterziehung ergäbe, wären mit der zuvor verfügten Beschlagnahme als provisorische Sicherungsmassnahme grundsätzlich auch mögliche Nach- und Strafsteuern vorläufig (verwaltungsstrafprozessual) sichergestellt worden: BGE 137 IV 145 S. 151</w:t>
      </w:r>
    </w:p>
    <w:p>
      <w:r>
        <w:rPr>
          <w:b/>
        </w:rPr>
        <w:t>E. 6.3</w:t>
      </w:r>
    </w:p>
    <w:p>
      <w:r>
        <w:t>Art. 191 Abs. 1 Satz 1 DBG bestimmt ausdrücklich, dass sich Untersuchungsmassnahmen (gegenüber den mutmasslichen Tätern oder Teilnehmern bei Verfahren wegen des Verdachts schwerer Steuerwiderhandlungen) nach den Vorschriften von Art. 19-50 VStrR richten. Dazu gehört insbesondere Art. 46 Abs. 1 lit. b VStrR betreffend die Einziehungsbeschlagnahme. Im Gegensatz zur vorläufigen Festnahme ( Art. 19 Abs. 3 VStrR ) wird diese Zwangsmassnahme von Art. 191 Abs. 1 Satz 2 DBG nicht ausgeschlossen. Anders wäre zu entscheiden, wenn im hängigen Untersuchungsverfahren bereits absehbar wäre, dass eine spätere strafrechtliche Einziehung (von mutmasslichem Steuersubstrat bzw. illegaler "Steuerersparnis") oder eine Sicherung von gesetzlichen Pfandrechten ( Art. 46 Abs. 2 VStrR i.V.m. Art. 169 und 170 DBG ) von vornherein ausgeschlossen wäre. Es liefe sowohl dem Wortlaut als auch dem Sinn und Zweck der gesetzlichen Vorschriften zuwider, wenn die EStV zwar bereits schwerwiegende Verdachtsfälle fiskalstrafrechtlich zu untersuchen hätte, wirksame sichernde Zwangsmassnahmen aber - wenn überhaupt - frühestens im Rahmen eines allfällig sich anschliessenden Fiskalstrafverfahrens bzw. Hinterziehungs- und Nachsteuerverfahrens verfügt werden könnten. Da die betroffenen mutmasslichen Täter oder Teilnehmer gewarnt wären, würden (verspätete) Sicherungsmassnahmen bei schweren Verdachtsfällen regelmässig ins Leere laufen. Auch die verwaltungsrechtlichen Instrumente der Steuersicherung (gemäss Art. 169 f. DBG) würden nach der Konzeption des Gesetzgebers - während der besonderen Fiskaluntersuchung durch die EStV - nicht ohne Weiteres genügen, soweit sie (vor Eröffnung eines allfälligen Hinterziehungs- bzw. Nachsteuerverfahrens durch die zuständige Behörde) überhaupt schon anwendbar wären. Dementsprechend verweist Art. 191 Abs. 1 DBG für zulässige besondere Untersuchungsmassnahmen wegen des Verdachts schwerer Steuerwiderhandlungen ausdrücklich auf Art. 19-50 VStrR .</w:t>
      </w:r>
    </w:p>
    <w:p>
      <w:r>
        <w:rPr>
          <w:b/>
        </w:rPr>
        <w:t>E. 6.4</w:t>
      </w:r>
    </w:p>
    <w:p>
      <w:r>
        <w:t>Entgegen der Ansicht der Vorinstanz ergibt sich auch aus Art. 333 Abs. 1 StGB keine Unzulässigkeit verwaltungsstrafprozessualer Vermögensbeschlagnahmen im Rahmen der besonderen Untersuchung von mutmasslichen schweren Steuerwiderhandlungen, insbesondere von fortgesetzten Hinterziehungen grosser Steuerbeträge (oder von Steuervergehen). Die spezialgesetzliche Grundlage für die provisorische Sicherungsmassnahme findet sich in Art. 46 Abs. 1 und 2 VStrR i.V.m. Art. 191 Abs. 1 DBG . Bei der Prüfung der Rechtmässigkeit von Einziehungsbeschlagnahmen im besonderen BGE 137 IV 145 S. 152 Untersuchungsverfahren ist im Einzelfall namentlich abzuklären, ob eine fiskalstrafrechtliche Einziehung grundsätzlich möglich erscheint oder nicht (vgl. BGE 135 I 257 E. 1.5 S. 260 mit Hinweisen; BGE 129 I 103 E. 2.1 S. 105 f.; BGE 120 IV 365 E. 1c S. 366 f.; Urteile 1S.8/2006 vom 12. Dezember 2006 E. 4-6; 1S.9/2005 vom 6. Oktober 2005 E. 7; 1S.5/2005 vom 26. September 2005 E. 7). Dabei sind (gestützt auf Art. 46 Abs. 1 lit. b VStrR und nach der Praxis des Bundesgerichtes) die Art. 70 und 71 StGB vorfrageweise anzuwenden ("voraussichtlich der Einziehung unterliegen"). Dass das VStrR oder das DBG eine provisorische Vermögensbeschlagnahme (bzw. eine allfällige fiskalstrafrechtliche Einziehung bzw. Herausgabe an den Fiskus) spezialgesetzlich ausschlössen, trifft nicht zu.</w:t>
      </w:r>
    </w:p>
    <w:p>
      <w:r>
        <w:rPr>
          <w:b/>
        </w:rPr>
        <w:t>E. 6.5</w:t>
      </w:r>
    </w:p>
    <w:p>
      <w:r>
        <w:t>Der angefochtene Entscheid erweist sich als bundesrechtswidrig. Die Vorinstanz wird zu prüfen haben, ob die materiellrechtlichen Voraussetzungen der streitigen Beschlagnahmen erfüllt sind. Die Frage, ob (und gegebenenfalls in welchem Umfang) die hier streitigen strafprozessualen Zwangsmassnahmen in einem allfälligen anschliessenden Hinterziehungs- und Nachsteuerverfahren (oder Fiskalstrafverfahren) aufrechterhalten werden könnten, bildet nicht Gegenstand des streitigen Beschlagnahmeentscheides.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